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b/>
          <w:color w:val="auto"/>
          <w:sz w:val="52"/>
          <w:szCs w:val="52"/>
          <w:highlight w:val="none"/>
        </w:rPr>
      </w:pPr>
      <w:bookmarkStart w:id="0" w:name="_Toc10964"/>
      <w:r>
        <w:rPr>
          <w:rFonts w:hint="eastAsia"/>
          <w:b/>
          <w:color w:val="auto"/>
          <w:sz w:val="52"/>
          <w:szCs w:val="52"/>
          <w:highlight w:val="none"/>
        </w:rPr>
        <w:t>内蒙古</w:t>
      </w:r>
      <w:r>
        <w:rPr>
          <w:rFonts w:hint="eastAsia"/>
          <w:b/>
          <w:color w:val="auto"/>
          <w:sz w:val="52"/>
          <w:szCs w:val="52"/>
          <w:highlight w:val="none"/>
          <w:lang w:val="en-US" w:eastAsia="zh-CN"/>
        </w:rPr>
        <w:t>鄂尔多斯联海煤业</w:t>
      </w:r>
      <w:r>
        <w:rPr>
          <w:b/>
          <w:color w:val="auto"/>
          <w:sz w:val="52"/>
          <w:szCs w:val="52"/>
          <w:highlight w:val="none"/>
        </w:rPr>
        <w:t>有限公司</w:t>
      </w:r>
    </w:p>
    <w:p>
      <w:pPr>
        <w:spacing w:line="1000" w:lineRule="exact"/>
        <w:jc w:val="center"/>
        <w:rPr>
          <w:rFonts w:hint="eastAsia"/>
          <w:b/>
          <w:bCs w:val="0"/>
          <w:sz w:val="52"/>
          <w:szCs w:val="52"/>
          <w:lang w:val="en-US" w:eastAsia="zh-CN"/>
        </w:rPr>
      </w:pPr>
      <w:r>
        <w:rPr>
          <w:rFonts w:hint="eastAsia"/>
          <w:b/>
          <w:bCs w:val="0"/>
          <w:color w:val="auto"/>
          <w:sz w:val="52"/>
          <w:szCs w:val="52"/>
          <w:highlight w:val="none"/>
          <w:lang w:val="en-US" w:eastAsia="zh-CN"/>
        </w:rPr>
        <w:t>白家海子煤矿造价咨询公司</w:t>
      </w:r>
    </w:p>
    <w:p>
      <w:pPr>
        <w:pStyle w:val="11"/>
        <w:rPr>
          <w:rFonts w:hint="eastAsia"/>
          <w:lang w:val="en-US" w:eastAsia="zh-CN"/>
        </w:rPr>
      </w:pPr>
    </w:p>
    <w:p>
      <w:pPr>
        <w:spacing w:line="1000" w:lineRule="exact"/>
        <w:jc w:val="center"/>
        <w:rPr>
          <w:rFonts w:hint="eastAsia"/>
          <w:b/>
          <w:color w:val="auto"/>
          <w:sz w:val="44"/>
          <w:szCs w:val="44"/>
          <w:highlight w:val="none"/>
        </w:rPr>
      </w:pPr>
    </w:p>
    <w:p>
      <w:pPr>
        <w:snapToGrid w:val="0"/>
        <w:spacing w:line="300" w:lineRule="auto"/>
        <w:ind w:left="2093" w:leftChars="171" w:hanging="1731" w:hangingChars="538"/>
        <w:jc w:val="center"/>
        <w:rPr>
          <w:rFonts w:hint="eastAsia" w:ascii="宋体" w:hAnsi="宋体"/>
          <w:b/>
          <w:color w:val="auto"/>
          <w:spacing w:val="20"/>
          <w:sz w:val="28"/>
          <w:szCs w:val="28"/>
          <w:highlight w:val="none"/>
        </w:rPr>
      </w:pPr>
    </w:p>
    <w:p>
      <w:pPr>
        <w:snapToGrid w:val="0"/>
        <w:spacing w:line="300" w:lineRule="auto"/>
        <w:ind w:left="2093" w:leftChars="171" w:hanging="1731" w:hangingChars="538"/>
        <w:jc w:val="center"/>
        <w:rPr>
          <w:rFonts w:hint="eastAsia" w:ascii="宋体" w:hAnsi="宋体"/>
          <w:b/>
          <w:color w:val="auto"/>
          <w:spacing w:val="20"/>
          <w:sz w:val="28"/>
          <w:szCs w:val="28"/>
          <w:highlight w:val="none"/>
        </w:rPr>
      </w:pPr>
    </w:p>
    <w:p>
      <w:pPr>
        <w:spacing w:line="720" w:lineRule="auto"/>
        <w:jc w:val="center"/>
        <w:rPr>
          <w:rFonts w:hint="eastAsia"/>
          <w:b/>
          <w:bCs/>
          <w:color w:val="auto"/>
          <w:kern w:val="44"/>
          <w:sz w:val="84"/>
          <w:szCs w:val="84"/>
          <w:highlight w:val="none"/>
        </w:rPr>
      </w:pPr>
      <w:r>
        <w:rPr>
          <w:rFonts w:hint="eastAsia"/>
          <w:b/>
          <w:bCs/>
          <w:color w:val="auto"/>
          <w:kern w:val="44"/>
          <w:sz w:val="84"/>
          <w:szCs w:val="84"/>
          <w:highlight w:val="none"/>
          <w:lang w:val="en-US" w:eastAsia="zh-CN"/>
        </w:rPr>
        <w:t>询标</w:t>
      </w:r>
      <w:r>
        <w:rPr>
          <w:rFonts w:hint="eastAsia"/>
          <w:b/>
          <w:bCs/>
          <w:color w:val="auto"/>
          <w:kern w:val="44"/>
          <w:sz w:val="84"/>
          <w:szCs w:val="84"/>
          <w:highlight w:val="none"/>
        </w:rPr>
        <w:t>文件</w:t>
      </w:r>
    </w:p>
    <w:p>
      <w:pPr>
        <w:snapToGrid w:val="0"/>
        <w:spacing w:line="300" w:lineRule="auto"/>
        <w:ind w:left="2524" w:leftChars="171" w:hanging="2162" w:hangingChars="538"/>
        <w:rPr>
          <w:rFonts w:hint="eastAsia" w:ascii="黑体" w:hAnsi="黑体" w:eastAsia="黑体"/>
          <w:b/>
          <w:color w:val="auto"/>
          <w:spacing w:val="20"/>
          <w:sz w:val="36"/>
          <w:szCs w:val="36"/>
          <w:highlight w:val="none"/>
        </w:rPr>
      </w:pPr>
    </w:p>
    <w:p>
      <w:pPr>
        <w:snapToGrid w:val="0"/>
        <w:spacing w:line="300" w:lineRule="auto"/>
        <w:ind w:left="3169" w:leftChars="171" w:hanging="2807" w:hangingChars="538"/>
        <w:jc w:val="center"/>
        <w:rPr>
          <w:rFonts w:hint="eastAsia" w:ascii="黑体" w:hAnsi="黑体" w:eastAsia="黑体"/>
          <w:b/>
          <w:color w:val="auto"/>
          <w:sz w:val="52"/>
          <w:szCs w:val="52"/>
          <w:highlight w:val="none"/>
        </w:rPr>
      </w:pPr>
    </w:p>
    <w:p>
      <w:pPr>
        <w:snapToGrid w:val="0"/>
        <w:spacing w:line="300" w:lineRule="auto"/>
        <w:ind w:left="3169" w:leftChars="171" w:hanging="2807" w:hangingChars="538"/>
        <w:jc w:val="center"/>
        <w:rPr>
          <w:rFonts w:hint="eastAsia" w:ascii="黑体" w:hAnsi="黑体" w:eastAsia="黑体"/>
          <w:b/>
          <w:color w:val="auto"/>
          <w:sz w:val="52"/>
          <w:szCs w:val="52"/>
          <w:highlight w:val="none"/>
        </w:rPr>
      </w:pPr>
    </w:p>
    <w:p>
      <w:pPr>
        <w:snapToGrid w:val="0"/>
        <w:spacing w:line="300" w:lineRule="auto"/>
        <w:ind w:left="2093" w:leftChars="171" w:hanging="1731" w:hangingChars="538"/>
        <w:jc w:val="center"/>
        <w:rPr>
          <w:rFonts w:hint="eastAsia" w:ascii="黑体" w:hAnsi="黑体" w:eastAsia="黑体"/>
          <w:b/>
          <w:color w:val="auto"/>
          <w:spacing w:val="20"/>
          <w:sz w:val="28"/>
          <w:szCs w:val="28"/>
          <w:highlight w:val="none"/>
        </w:rPr>
      </w:pPr>
    </w:p>
    <w:p>
      <w:pPr>
        <w:spacing w:line="360" w:lineRule="auto"/>
        <w:ind w:firstLine="1602" w:firstLineChars="498"/>
        <w:rPr>
          <w:rFonts w:hint="eastAsia"/>
          <w:b/>
          <w:color w:val="auto"/>
          <w:sz w:val="32"/>
          <w:szCs w:val="32"/>
          <w:highlight w:val="none"/>
          <w:lang w:val="en-US" w:eastAsia="zh-CN"/>
        </w:rPr>
      </w:pPr>
      <w:r>
        <w:rPr>
          <w:rFonts w:hint="eastAsia"/>
          <w:b/>
          <w:color w:val="auto"/>
          <w:sz w:val="32"/>
          <w:szCs w:val="32"/>
          <w:highlight w:val="none"/>
        </w:rPr>
        <w:t>招标编号：</w:t>
      </w:r>
      <w:r>
        <w:rPr>
          <w:rFonts w:hint="eastAsia"/>
          <w:b/>
          <w:color w:val="auto"/>
          <w:sz w:val="32"/>
          <w:szCs w:val="32"/>
          <w:highlight w:val="none"/>
          <w:lang w:val="en-US" w:eastAsia="zh-CN"/>
        </w:rPr>
        <w:t>LHMY-XB-2019-01</w:t>
      </w:r>
    </w:p>
    <w:p>
      <w:pPr>
        <w:spacing w:line="360" w:lineRule="auto"/>
        <w:ind w:firstLine="1602" w:firstLineChars="498"/>
        <w:rPr>
          <w:rFonts w:hint="eastAsia"/>
          <w:b/>
          <w:color w:val="auto"/>
          <w:sz w:val="32"/>
          <w:szCs w:val="32"/>
          <w:highlight w:val="none"/>
        </w:rPr>
      </w:pPr>
      <w:r>
        <w:rPr>
          <w:rFonts w:hint="eastAsia"/>
          <w:b/>
          <w:color w:val="auto"/>
          <w:sz w:val="32"/>
          <w:szCs w:val="32"/>
          <w:highlight w:val="none"/>
        </w:rPr>
        <w:t>招标单位：内蒙古</w:t>
      </w:r>
      <w:r>
        <w:rPr>
          <w:rFonts w:hint="eastAsia"/>
          <w:b/>
          <w:color w:val="auto"/>
          <w:sz w:val="32"/>
          <w:szCs w:val="32"/>
          <w:highlight w:val="none"/>
          <w:lang w:val="en-US" w:eastAsia="zh-CN"/>
        </w:rPr>
        <w:t>鄂尔多斯联海煤业</w:t>
      </w:r>
      <w:r>
        <w:rPr>
          <w:rFonts w:hint="eastAsia"/>
          <w:b/>
          <w:color w:val="auto"/>
          <w:sz w:val="32"/>
          <w:szCs w:val="32"/>
          <w:highlight w:val="none"/>
        </w:rPr>
        <w:t>有限公司</w:t>
      </w:r>
    </w:p>
    <w:p>
      <w:pPr>
        <w:spacing w:line="360" w:lineRule="auto"/>
        <w:ind w:firstLine="1602" w:firstLineChars="498"/>
        <w:rPr>
          <w:rFonts w:hint="eastAsia" w:ascii="宋体" w:hAnsi="宋体" w:cs="宋体"/>
          <w:color w:val="auto"/>
          <w:highlight w:val="none"/>
          <w:lang w:val="en-US"/>
        </w:rPr>
        <w:sectPr>
          <w:headerReference r:id="rId3" w:type="default"/>
          <w:footerReference r:id="rId4" w:type="default"/>
          <w:pgSz w:w="11906" w:h="16838"/>
          <w:pgMar w:top="1440" w:right="1247" w:bottom="1440" w:left="1800" w:header="851" w:footer="992" w:gutter="0"/>
          <w:pgBorders>
            <w:top w:val="none" w:sz="0" w:space="0"/>
            <w:left w:val="none" w:sz="0" w:space="0"/>
            <w:bottom w:val="none" w:sz="0" w:space="0"/>
            <w:right w:val="none" w:sz="0" w:space="0"/>
          </w:pgBorders>
          <w:pgNumType w:fmt="numberInDash"/>
          <w:cols w:space="720" w:num="1"/>
          <w:docGrid w:type="linesAndChars" w:linePitch="319" w:charSpace="577"/>
        </w:sectPr>
      </w:pPr>
      <w:r>
        <w:rPr>
          <w:rFonts w:hint="eastAsia"/>
          <w:b/>
          <w:color w:val="auto"/>
          <w:sz w:val="32"/>
          <w:szCs w:val="32"/>
          <w:highlight w:val="none"/>
        </w:rPr>
        <w:t>日    期：201</w:t>
      </w:r>
      <w:r>
        <w:rPr>
          <w:rFonts w:hint="eastAsia"/>
          <w:b/>
          <w:color w:val="auto"/>
          <w:sz w:val="32"/>
          <w:szCs w:val="32"/>
          <w:highlight w:val="none"/>
          <w:lang w:val="en-US" w:eastAsia="zh-CN"/>
        </w:rPr>
        <w:t>9</w:t>
      </w:r>
      <w:r>
        <w:rPr>
          <w:rFonts w:hint="eastAsia"/>
          <w:b/>
          <w:color w:val="auto"/>
          <w:sz w:val="32"/>
          <w:szCs w:val="32"/>
          <w:highlight w:val="none"/>
        </w:rPr>
        <w:t>年</w:t>
      </w:r>
      <w:r>
        <w:rPr>
          <w:rFonts w:hint="eastAsia"/>
          <w:b/>
          <w:color w:val="auto"/>
          <w:sz w:val="32"/>
          <w:szCs w:val="32"/>
          <w:highlight w:val="none"/>
          <w:lang w:val="en-US" w:eastAsia="zh-CN"/>
        </w:rPr>
        <w:t>3</w:t>
      </w:r>
      <w:r>
        <w:rPr>
          <w:rFonts w:hint="eastAsia"/>
          <w:b/>
          <w:color w:val="auto"/>
          <w:sz w:val="32"/>
          <w:szCs w:val="32"/>
          <w:highlight w:val="none"/>
        </w:rPr>
        <w:t>月</w:t>
      </w:r>
      <w:r>
        <w:rPr>
          <w:rFonts w:hint="eastAsia"/>
          <w:b/>
          <w:color w:val="auto"/>
          <w:sz w:val="32"/>
          <w:szCs w:val="32"/>
          <w:highlight w:val="none"/>
          <w:lang w:val="en-US" w:eastAsia="zh-CN"/>
        </w:rPr>
        <w:t>2日</w:t>
      </w:r>
    </w:p>
    <w:p>
      <w:pPr>
        <w:pStyle w:val="2"/>
        <w:keepNext/>
        <w:keepLines/>
        <w:pageBreakBefore w:val="0"/>
        <w:widowControl w:val="0"/>
        <w:kinsoku/>
        <w:wordWrap/>
        <w:overflowPunct/>
        <w:topLinePunct w:val="0"/>
        <w:autoSpaceDE/>
        <w:autoSpaceDN/>
        <w:bidi w:val="0"/>
        <w:adjustRightInd/>
        <w:snapToGrid/>
        <w:spacing w:before="200" w:after="200" w:line="460" w:lineRule="exact"/>
        <w:jc w:val="center"/>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color w:val="000000"/>
          <w:sz w:val="32"/>
          <w:szCs w:val="32"/>
          <w:lang w:val="en-US" w:eastAsia="zh-CN"/>
        </w:rPr>
        <w:t>造价咨询公司编制招标控制价及工程量清单</w:t>
      </w:r>
    </w:p>
    <w:p>
      <w:pPr>
        <w:pStyle w:val="2"/>
        <w:keepNext/>
        <w:keepLines/>
        <w:pageBreakBefore w:val="0"/>
        <w:widowControl w:val="0"/>
        <w:kinsoku/>
        <w:wordWrap/>
        <w:overflowPunct/>
        <w:topLinePunct w:val="0"/>
        <w:autoSpaceDE/>
        <w:autoSpaceDN/>
        <w:bidi w:val="0"/>
        <w:adjustRightInd/>
        <w:snapToGrid/>
        <w:spacing w:before="200" w:after="200" w:line="460" w:lineRule="exact"/>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color w:val="000000"/>
          <w:sz w:val="32"/>
          <w:szCs w:val="32"/>
          <w:lang w:val="en-US" w:eastAsia="zh-CN"/>
        </w:rPr>
        <w:t>询价</w:t>
      </w:r>
      <w:r>
        <w:rPr>
          <w:rFonts w:hint="eastAsia" w:asciiTheme="minorEastAsia" w:hAnsiTheme="minorEastAsia" w:eastAsiaTheme="minorEastAsia" w:cstheme="minorEastAsia"/>
          <w:sz w:val="32"/>
          <w:szCs w:val="32"/>
          <w:lang w:val="en-US" w:eastAsia="zh-CN"/>
        </w:rPr>
        <w:t>招标公告</w:t>
      </w:r>
      <w:bookmarkEnd w:id="0"/>
    </w:p>
    <w:p>
      <w:pPr>
        <w:keepNext w:val="0"/>
        <w:keepLines w:val="0"/>
        <w:pageBreakBefore w:val="0"/>
        <w:widowControl w:val="0"/>
        <w:kinsoku/>
        <w:wordWrap/>
        <w:overflowPunct/>
        <w:topLinePunct w:val="0"/>
        <w:autoSpaceDE/>
        <w:autoSpaceDN/>
        <w:bidi w:val="0"/>
        <w:snapToGrid w:val="0"/>
        <w:spacing w:line="460" w:lineRule="exact"/>
        <w:textAlignment w:val="auto"/>
        <w:outlineLvl w:val="9"/>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val="0"/>
        <w:spacing w:line="460" w:lineRule="exact"/>
        <w:ind w:firstLine="463" w:firstLineChars="193"/>
        <w:textAlignment w:val="auto"/>
        <w:outlineLvl w:val="9"/>
        <w:rPr>
          <w:rFonts w:hint="eastAsia" w:asciiTheme="minorEastAsia" w:hAnsiTheme="minorEastAsia" w:eastAsiaTheme="minorEastAsia" w:cstheme="minorEastAsia"/>
          <w:color w:val="auto"/>
          <w:sz w:val="24"/>
          <w:szCs w:val="24"/>
          <w:highlight w:val="none"/>
          <w:lang w:val="en-US" w:eastAsia="zh-CN"/>
        </w:rPr>
      </w:pPr>
      <w:bookmarkStart w:id="1" w:name="_Toc296602403"/>
      <w:bookmarkStart w:id="2" w:name="_Toc380599038"/>
      <w:bookmarkStart w:id="3" w:name="_Toc366049770"/>
      <w:r>
        <w:rPr>
          <w:rFonts w:hint="eastAsia" w:asciiTheme="minorEastAsia" w:hAnsiTheme="minorEastAsia" w:eastAsiaTheme="minorEastAsia" w:cstheme="minorEastAsia"/>
          <w:color w:val="auto"/>
          <w:sz w:val="24"/>
          <w:szCs w:val="24"/>
          <w:highlight w:val="none"/>
          <w:lang w:val="en-US" w:eastAsia="zh-CN"/>
        </w:rPr>
        <w:t>1.1项目名称：</w:t>
      </w:r>
      <w:r>
        <w:rPr>
          <w:rFonts w:hint="eastAsia" w:asciiTheme="minorEastAsia" w:hAnsiTheme="minorEastAsia" w:eastAsiaTheme="minorEastAsia" w:cstheme="minorEastAsia"/>
          <w:color w:val="auto"/>
          <w:sz w:val="24"/>
          <w:szCs w:val="24"/>
          <w:highlight w:val="none"/>
          <w:lang w:eastAsia="zh-CN"/>
        </w:rPr>
        <w:t>内蒙古鄂尔多斯联海煤业有限公司</w:t>
      </w:r>
      <w:r>
        <w:rPr>
          <w:rFonts w:hint="eastAsia" w:asciiTheme="minorEastAsia" w:hAnsiTheme="minorEastAsia" w:eastAsiaTheme="minorEastAsia" w:cstheme="minorEastAsia"/>
          <w:color w:val="auto"/>
          <w:sz w:val="24"/>
          <w:szCs w:val="24"/>
          <w:highlight w:val="none"/>
          <w:lang w:val="en-US" w:eastAsia="zh-CN"/>
        </w:rPr>
        <w:t>白家海子煤矿</w:t>
      </w:r>
      <w:r>
        <w:rPr>
          <w:rFonts w:hint="eastAsia" w:asciiTheme="minorEastAsia" w:hAnsiTheme="minorEastAsia" w:cstheme="minorEastAsia"/>
          <w:color w:val="auto"/>
          <w:sz w:val="24"/>
          <w:szCs w:val="24"/>
          <w:highlight w:val="none"/>
          <w:lang w:val="en-US" w:eastAsia="zh-CN"/>
        </w:rPr>
        <w:t>;</w:t>
      </w:r>
    </w:p>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000000"/>
          <w:sz w:val="24"/>
          <w:szCs w:val="24"/>
          <w:lang w:val="en-US" w:eastAsia="zh-CN"/>
        </w:rPr>
        <w:t>工程概况：内蒙古鄂尔多斯联海煤业有限公司</w:t>
      </w:r>
      <w:r>
        <w:rPr>
          <w:rFonts w:hint="eastAsia" w:asciiTheme="minorEastAsia" w:hAnsiTheme="minorEastAsia" w:eastAsiaTheme="minorEastAsia" w:cstheme="minorEastAsia"/>
          <w:color w:val="000000"/>
          <w:sz w:val="24"/>
          <w:szCs w:val="24"/>
        </w:rPr>
        <w:t>白家海子</w:t>
      </w:r>
      <w:r>
        <w:rPr>
          <w:rFonts w:hint="eastAsia" w:asciiTheme="minorEastAsia" w:hAnsiTheme="minorEastAsia" w:eastAsiaTheme="minorEastAsia" w:cstheme="minorEastAsia"/>
          <w:color w:val="000000"/>
          <w:sz w:val="24"/>
          <w:szCs w:val="24"/>
          <w:lang w:val="en-US" w:eastAsia="zh-CN"/>
        </w:rPr>
        <w:t>煤矿</w:t>
      </w:r>
      <w:r>
        <w:rPr>
          <w:rFonts w:hint="eastAsia" w:asciiTheme="minorEastAsia" w:hAnsiTheme="minorEastAsia" w:eastAsiaTheme="minorEastAsia" w:cstheme="minorEastAsia"/>
          <w:color w:val="000000"/>
          <w:sz w:val="24"/>
          <w:szCs w:val="24"/>
        </w:rPr>
        <w:t>位于内蒙古自治区鄂尔多斯市乌审旗境内，井田北界距乌审旗嘎鲁图镇</w:t>
      </w:r>
      <w:r>
        <w:rPr>
          <w:rFonts w:hint="eastAsia" w:asciiTheme="minorEastAsia" w:hAnsiTheme="minorEastAsia" w:eastAsia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rPr>
        <w:t>km，距东胜区2</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0km；东界距陕西省榆林市85km；矿井设计生产能力为1500万t/a，矿井地质资源储量365023万t</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cstheme="minorEastAsia"/>
          <w:color w:val="000000"/>
          <w:sz w:val="24"/>
          <w:szCs w:val="24"/>
          <w:lang w:eastAsia="zh-CN"/>
        </w:rPr>
        <w:t>矿井设</w:t>
      </w:r>
      <w:r>
        <w:rPr>
          <w:rFonts w:hint="eastAsia" w:asciiTheme="minorEastAsia" w:hAnsiTheme="minorEastAsia" w:cstheme="minorEastAsia"/>
          <w:b w:val="0"/>
          <w:bCs w:val="0"/>
          <w:color w:val="000000"/>
          <w:sz w:val="24"/>
          <w:szCs w:val="24"/>
          <w:lang w:eastAsia="zh-CN"/>
        </w:rPr>
        <w:t>计概算</w:t>
      </w:r>
      <w:r>
        <w:rPr>
          <w:rFonts w:hint="eastAsia" w:asciiTheme="minorEastAsia" w:hAnsiTheme="minorEastAsia" w:cstheme="minorEastAsia"/>
          <w:b w:val="0"/>
          <w:bCs w:val="0"/>
          <w:color w:val="000000"/>
          <w:sz w:val="24"/>
          <w:szCs w:val="24"/>
          <w:lang w:val="en-US" w:eastAsia="zh-CN"/>
        </w:rPr>
        <w:t>69.5亿元，选煤厂设计概算13.9亿元;</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1.3招标人：内蒙古鄂尔多斯联海</w:t>
      </w:r>
      <w:r>
        <w:rPr>
          <w:rFonts w:hint="eastAsia" w:asciiTheme="minorEastAsia" w:hAnsiTheme="minorEastAsia" w:eastAsiaTheme="minorEastAsia" w:cstheme="minorEastAsia"/>
          <w:color w:val="auto"/>
          <w:sz w:val="24"/>
          <w:szCs w:val="24"/>
          <w:highlight w:val="none"/>
          <w:lang w:val="en-US" w:eastAsia="zh-CN"/>
        </w:rPr>
        <w:t>煤业有限公司</w:t>
      </w:r>
      <w:r>
        <w:rPr>
          <w:rFonts w:hint="eastAsia" w:asciiTheme="minorEastAsia" w:hAnsi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firstLine="463" w:firstLineChars="193"/>
        <w:textAlignment w:val="auto"/>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招标方式：</w:t>
      </w:r>
      <w:r>
        <w:rPr>
          <w:rFonts w:hint="eastAsia" w:asciiTheme="minorEastAsia" w:hAnsiTheme="minorEastAsia" w:eastAsiaTheme="minorEastAsia" w:cstheme="minorEastAsia"/>
          <w:color w:val="auto"/>
          <w:sz w:val="24"/>
          <w:szCs w:val="24"/>
          <w:highlight w:val="none"/>
          <w:lang w:val="en-US" w:eastAsia="zh-CN"/>
        </w:rPr>
        <w:t>询价</w:t>
      </w:r>
      <w:r>
        <w:rPr>
          <w:rFonts w:hint="eastAsia" w:asciiTheme="minorEastAsia" w:hAnsiTheme="minorEastAsia" w:eastAsiaTheme="minorEastAsia" w:cstheme="minorEastAsia"/>
          <w:color w:val="auto"/>
          <w:sz w:val="24"/>
          <w:szCs w:val="24"/>
          <w:highlight w:val="none"/>
          <w:lang w:eastAsia="zh-CN"/>
        </w:rPr>
        <w:t>招标。</w:t>
      </w:r>
    </w:p>
    <w:p>
      <w:pPr>
        <w:pageBreakBefore w:val="0"/>
        <w:widowControl w:val="0"/>
        <w:numPr>
          <w:ilvl w:val="0"/>
          <w:numId w:val="0"/>
        </w:numPr>
        <w:kinsoku/>
        <w:wordWrap/>
        <w:overflowPunct/>
        <w:topLinePunct w:val="0"/>
        <w:bidi w:val="0"/>
        <w:spacing w:line="460" w:lineRule="exact"/>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r>
        <w:rPr>
          <w:rFonts w:hint="eastAsia" w:asciiTheme="minorEastAsia" w:hAnsiTheme="minorEastAsia" w:eastAsiaTheme="minorEastAsia" w:cstheme="minorEastAsia"/>
          <w:b/>
          <w:color w:val="auto"/>
          <w:sz w:val="24"/>
          <w:szCs w:val="24"/>
          <w:highlight w:val="none"/>
          <w:lang w:val="en-US" w:eastAsia="zh-CN"/>
        </w:rPr>
        <w:t>2、集团简介</w:t>
      </w:r>
    </w:p>
    <w:p>
      <w:pPr>
        <w:pageBreakBefore w:val="0"/>
        <w:widowControl w:val="0"/>
        <w:numPr>
          <w:ilvl w:val="0"/>
          <w:numId w:val="0"/>
        </w:numPr>
        <w:kinsoku/>
        <w:wordWrap/>
        <w:overflowPunct/>
        <w:topLinePunct w:val="0"/>
        <w:bidi w:val="0"/>
        <w:spacing w:line="460" w:lineRule="exact"/>
        <w:ind w:firstLine="480" w:firstLineChars="200"/>
        <w:textAlignment w:val="auto"/>
        <w:rPr>
          <w:rFonts w:hint="eastAsia" w:asciiTheme="minorEastAsia" w:hAnsiTheme="minorEastAsia" w:cstheme="minorEastAsia"/>
          <w:b w:val="0"/>
          <w:bCs w:val="0"/>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内蒙古</w:t>
      </w:r>
      <w:r>
        <w:rPr>
          <w:rFonts w:hint="eastAsia" w:asciiTheme="minorEastAsia" w:hAnsiTheme="minorEastAsia" w:cstheme="minorEastAsia"/>
          <w:b w:val="0"/>
          <w:bCs w:val="0"/>
          <w:color w:val="000000"/>
          <w:sz w:val="24"/>
          <w:szCs w:val="24"/>
          <w:lang w:val="en-US" w:eastAsia="zh-CN"/>
        </w:rPr>
        <w:t>鄂尔多斯联海煤业有限公司为汇能集团下属企业，</w:t>
      </w:r>
      <w:r>
        <w:rPr>
          <w:rFonts w:hint="eastAsia" w:asciiTheme="minorEastAsia" w:hAnsiTheme="minorEastAsia" w:cstheme="minorEastAsia"/>
          <w:b w:val="0"/>
          <w:bCs w:val="0"/>
          <w:color w:val="000000"/>
          <w:sz w:val="24"/>
          <w:szCs w:val="24"/>
          <w:lang w:eastAsia="zh-CN"/>
        </w:rPr>
        <w:t>内蒙古汇能煤电集团有限公司成立于2001年，现有子公司45家，总资产500亿元，是以煤炭、电力、化工为主业，集金融、地产、路桥、物流等产业于一体的大型股份制企业。集团自成立以来，累计生产原煤3亿多吨，上缴税费300多亿元，年平均实现营业收入150亿元。公司现已形成4000万吨煤炭、21万千瓦电力、4亿立方米煤制天然气、4亿立方米液化天然气生产能力；加上在建的长滩2000万吨/年露天煤矿等6座煤矿和在建的长滩电厂，到2020年，我公司将形成8000万吨煤炭、20亿立方米煤制天然气、12亿立方米液化天然气、153万千瓦电力生产能力，成为产值超500亿、资产过千亿、员工2万人的特大型能源企业。</w:t>
      </w: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、招标范围</w:t>
      </w:r>
      <w:bookmarkEnd w:id="1"/>
      <w:bookmarkEnd w:id="2"/>
      <w:bookmarkEnd w:id="3"/>
      <w:r>
        <w:rPr>
          <w:rFonts w:hint="eastAsia" w:asciiTheme="minorEastAsia" w:hAnsiTheme="minorEastAsia" w:eastAsiaTheme="minorEastAsia" w:cstheme="minorEastAsia"/>
          <w:b/>
          <w:color w:val="auto"/>
          <w:sz w:val="24"/>
          <w:szCs w:val="24"/>
          <w:highlight w:val="none"/>
          <w:lang w:val="en-US" w:eastAsia="zh-CN"/>
        </w:rPr>
        <w:t xml:space="preserve"> </w:t>
      </w:r>
    </w:p>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bookmarkStart w:id="4" w:name="_Toc366049771"/>
      <w:bookmarkStart w:id="5" w:name="_Toc380599039"/>
      <w:r>
        <w:rPr>
          <w:rFonts w:hint="eastAsia" w:asciiTheme="minorEastAsia" w:hAnsiTheme="minorEastAsia" w:eastAsiaTheme="minorEastAsia" w:cstheme="minorEastAsia"/>
          <w:color w:val="000000"/>
          <w:sz w:val="24"/>
          <w:szCs w:val="24"/>
          <w:lang w:val="en-US" w:eastAsia="zh-CN"/>
        </w:rPr>
        <w:t>本次造价咨询公司编制招标控制价及工程量清单范围主要包括：</w:t>
      </w:r>
    </w:p>
    <w:bookmarkEnd w:id="4"/>
    <w:bookmarkEnd w:id="5"/>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cstheme="minorEastAsia"/>
          <w:color w:val="000000"/>
          <w:sz w:val="24"/>
          <w:szCs w:val="24"/>
          <w:lang w:val="en-US" w:eastAsia="zh-CN"/>
        </w:rPr>
      </w:pPr>
      <w:bookmarkStart w:id="6" w:name="_Toc366049774"/>
      <w:bookmarkStart w:id="7" w:name="_Toc296602404"/>
      <w:bookmarkStart w:id="8" w:name="_Toc380599041"/>
      <w:r>
        <w:rPr>
          <w:rFonts w:hint="eastAsia" w:asciiTheme="minorEastAsia" w:hAnsiTheme="minorEastAsia" w:cstheme="minorEastAsia"/>
          <w:color w:val="000000"/>
          <w:sz w:val="24"/>
          <w:szCs w:val="24"/>
          <w:lang w:val="en-US" w:eastAsia="zh-CN"/>
        </w:rPr>
        <w:t>3.1 矿井土建工程</w:t>
      </w:r>
    </w:p>
    <w:tbl>
      <w:tblPr>
        <w:tblStyle w:val="10"/>
        <w:tblW w:w="7740" w:type="dxa"/>
        <w:jc w:val="center"/>
        <w:tblInd w:w="298" w:type="dxa"/>
        <w:shd w:val="clear" w:color="auto" w:fill="auto"/>
        <w:tblLayout w:type="fixed"/>
        <w:tblCellMar>
          <w:top w:w="0" w:type="dxa"/>
          <w:left w:w="0" w:type="dxa"/>
          <w:bottom w:w="0" w:type="dxa"/>
          <w:right w:w="0" w:type="dxa"/>
        </w:tblCellMar>
      </w:tblPr>
      <w:tblGrid>
        <w:gridCol w:w="1080"/>
        <w:gridCol w:w="3585"/>
        <w:gridCol w:w="1995"/>
        <w:gridCol w:w="1080"/>
      </w:tblGrid>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生产环节名称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概算价值（万元）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压风系统</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216.5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地面生产系统</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1687.0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安全技术及控制系统</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80.7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供电系统</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1269.0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地面运输</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12005.8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室外给排水及供热</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2791.6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辅助厂房及仓库</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6864.6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场区设施</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4215.1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环境保护及“三废”处理</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3143.6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3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行政福利设施</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15000.0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w:t>
            </w:r>
          </w:p>
        </w:tc>
        <w:tc>
          <w:tcPr>
            <w:tcW w:w="358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47273.9 </w:t>
            </w:r>
          </w:p>
        </w:tc>
        <w:tc>
          <w:tcPr>
            <w:tcW w:w="10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cstheme="minorEastAsia"/>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3.2 矿井安装工程</w:t>
      </w:r>
    </w:p>
    <w:tbl>
      <w:tblPr>
        <w:tblStyle w:val="10"/>
        <w:tblW w:w="7335" w:type="dxa"/>
        <w:jc w:val="center"/>
        <w:tblInd w:w="500" w:type="dxa"/>
        <w:shd w:val="clear" w:color="auto" w:fill="auto"/>
        <w:tblLayout w:type="fixed"/>
        <w:tblCellMar>
          <w:top w:w="0" w:type="dxa"/>
          <w:left w:w="0" w:type="dxa"/>
          <w:bottom w:w="0" w:type="dxa"/>
          <w:right w:w="0" w:type="dxa"/>
        </w:tblCellMar>
      </w:tblPr>
      <w:tblGrid>
        <w:gridCol w:w="1080"/>
        <w:gridCol w:w="2685"/>
        <w:gridCol w:w="2490"/>
        <w:gridCol w:w="1080"/>
      </w:tblGrid>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生产环节名称</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概算价值（万元）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井筒装备</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6199.0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2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井底车场巷道及硐室</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1524.0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3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主要运输巷及回风巷</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4397.0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采区</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4798.0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5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通风系统</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490.2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6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压风系统</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1449.4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7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地面生产系统</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865.9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8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安全技术与监控系统</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3793.8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9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通信调度及计算机中心</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497.8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10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供电系统</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15999.1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11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室外给排水及供热</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2032.3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12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行政福利设施</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133.4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13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环境保护及“三废处理”</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883.8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14 </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43063.6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cstheme="minorEastAsia"/>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3.3 选煤厂工程</w:t>
      </w:r>
    </w:p>
    <w:tbl>
      <w:tblPr>
        <w:tblStyle w:val="10"/>
        <w:tblW w:w="7665" w:type="dxa"/>
        <w:jc w:val="center"/>
        <w:tblInd w:w="335" w:type="dxa"/>
        <w:shd w:val="clear" w:color="auto" w:fill="auto"/>
        <w:tblLayout w:type="fixed"/>
        <w:tblCellMar>
          <w:top w:w="0" w:type="dxa"/>
          <w:left w:w="0" w:type="dxa"/>
          <w:bottom w:w="0" w:type="dxa"/>
          <w:right w:w="0" w:type="dxa"/>
        </w:tblCellMar>
      </w:tblPr>
      <w:tblGrid>
        <w:gridCol w:w="1080"/>
        <w:gridCol w:w="3180"/>
        <w:gridCol w:w="2085"/>
        <w:gridCol w:w="1320"/>
      </w:tblGrid>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生产环节名称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概算价值（万元）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贮煤系统</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筛分破碎车间</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主厂房</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28507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压滤车间</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5694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浓缩车间</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装车系统</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26494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带式输送机栈桥及转载点</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排矸系统</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生产集控及调度系统</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供电系统</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7770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地面运输</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室外给排水及供热</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辅助厂房及仓库</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行政福利设施</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场区设施</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3594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566"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116233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default" w:asciiTheme="minorEastAsia" w:hAnsiTheme="minorEastAsia" w:cstheme="minorEastAsia"/>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、投标人资格要求</w:t>
      </w:r>
      <w:bookmarkEnd w:id="6"/>
      <w:bookmarkEnd w:id="7"/>
      <w:bookmarkEnd w:id="8"/>
      <w:bookmarkStart w:id="9" w:name="_Toc296602405"/>
      <w:bookmarkStart w:id="10" w:name="_Toc366049775"/>
      <w:bookmarkStart w:id="11" w:name="_Toc380599042"/>
    </w:p>
    <w:bookmarkEnd w:id="9"/>
    <w:bookmarkEnd w:id="10"/>
    <w:bookmarkEnd w:id="11"/>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4.1投标人须具备建设行政主管部门颁发的工程造价咨询甲级或乙级资质，并在人员、设备、资金等方面具有相应的能力，做过大型</w:t>
      </w:r>
      <w:r>
        <w:rPr>
          <w:rFonts w:hint="eastAsia" w:asciiTheme="minorEastAsia" w:hAnsiTheme="minorEastAsia" w:cstheme="minorEastAsia"/>
          <w:color w:val="000000"/>
          <w:sz w:val="24"/>
          <w:szCs w:val="24"/>
          <w:lang w:val="en-US" w:eastAsia="zh-CN"/>
        </w:rPr>
        <w:t>井工煤矿</w:t>
      </w:r>
      <w:r>
        <w:rPr>
          <w:rFonts w:hint="eastAsia" w:asciiTheme="minorEastAsia" w:hAnsiTheme="minorEastAsia" w:eastAsiaTheme="minorEastAsia" w:cstheme="minorEastAsia"/>
          <w:color w:val="000000"/>
          <w:sz w:val="24"/>
          <w:szCs w:val="24"/>
          <w:lang w:val="en-US" w:eastAsia="zh-CN"/>
        </w:rPr>
        <w:t>招标控制价或结算审计的优先考虑</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 xml:space="preserve">    4.2业绩要求：近年承揽过至少1项大型工程造价咨询服务业绩（提供造价咨询合同原件，投标文件须附复印件）</w:t>
      </w:r>
      <w:r>
        <w:rPr>
          <w:rFonts w:hint="eastAsia" w:asciiTheme="minorEastAsia" w:hAnsiTheme="minorEastAsia" w:cstheme="minorEastAsia"/>
          <w:color w:val="000000"/>
          <w:sz w:val="24"/>
          <w:szCs w:val="24"/>
          <w:lang w:val="en-US" w:eastAsia="zh-CN"/>
        </w:rPr>
        <w:t>;</w:t>
      </w:r>
    </w:p>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4.3信誉要求：近年投标人在招投标活动或建设过程中无不良行为，没有被相关建设主管部门通报限制投标（在限制投标期内的）</w:t>
      </w:r>
      <w:r>
        <w:rPr>
          <w:rFonts w:hint="eastAsia" w:asciiTheme="minorEastAsia" w:hAnsi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lang w:val="en-US" w:eastAsia="zh-CN"/>
        </w:rPr>
        <w:br w:type="textWrapping"/>
      </w:r>
      <w:r>
        <w:rPr>
          <w:rFonts w:hint="eastAsia" w:asciiTheme="minorEastAsia" w:hAnsiTheme="minorEastAsia" w:eastAsiaTheme="minorEastAsia" w:cstheme="minorEastAsia"/>
          <w:color w:val="000000"/>
          <w:sz w:val="24"/>
          <w:szCs w:val="24"/>
          <w:lang w:val="en-US" w:eastAsia="zh-CN"/>
        </w:rPr>
        <w:t xml:space="preserve">    4.4财务要求：近年财务状况良好，没有处于财产被接管、破产或其他关、停、并、转状态且年平均营业额应不小于100万元人民币。提供（2016年～2018年）的审计报告（提供审计报告原件，投标文件须附复印件）。</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5、投标报名和资格预审</w:t>
      </w:r>
    </w:p>
    <w:p>
      <w:pPr>
        <w:keepNext w:val="0"/>
        <w:keepLines w:val="0"/>
        <w:pageBreakBefore w:val="0"/>
        <w:widowControl w:val="0"/>
        <w:kinsoku/>
        <w:wordWrap/>
        <w:overflowPunct/>
        <w:topLinePunct w:val="0"/>
        <w:autoSpaceDE/>
        <w:autoSpaceDN/>
        <w:bidi w:val="0"/>
        <w:adjustRightInd/>
        <w:snapToGrid w:val="0"/>
        <w:spacing w:line="460" w:lineRule="exact"/>
        <w:ind w:firstLine="463" w:firstLineChars="193"/>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本次招标采用</w:t>
      </w:r>
      <w:r>
        <w:rPr>
          <w:rFonts w:hint="eastAsia" w:asciiTheme="minorEastAsia" w:hAnsiTheme="minorEastAsia" w:eastAsiaTheme="minorEastAsia" w:cstheme="minorEastAsia"/>
          <w:color w:val="auto"/>
          <w:sz w:val="24"/>
          <w:szCs w:val="24"/>
          <w:highlight w:val="none"/>
          <w:lang w:val="en-US" w:eastAsia="zh-CN"/>
        </w:rPr>
        <w:t>邮件报名方式，对提供的电子版资料进行资格审查，对符合条件的投标人进行确认后。</w:t>
      </w:r>
    </w:p>
    <w:p>
      <w:pPr>
        <w:keepNext w:val="0"/>
        <w:keepLines w:val="0"/>
        <w:pageBreakBefore w:val="0"/>
        <w:widowControl w:val="0"/>
        <w:kinsoku/>
        <w:wordWrap/>
        <w:overflowPunct/>
        <w:topLinePunct w:val="0"/>
        <w:autoSpaceDE/>
        <w:autoSpaceDN/>
        <w:bidi w:val="0"/>
        <w:snapToGrid w:val="0"/>
        <w:spacing w:line="460" w:lineRule="exact"/>
        <w:ind w:firstLine="463" w:firstLineChars="193"/>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）企业法人营业执照（年检，办理三证合一的提供新证）</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napToGrid w:val="0"/>
        <w:spacing w:line="460" w:lineRule="exact"/>
        <w:ind w:firstLine="463" w:firstLineChars="193"/>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）企业资质等级证书</w:t>
      </w:r>
      <w:r>
        <w:rPr>
          <w:rFonts w:hint="eastAsia" w:asciiTheme="minorEastAsia" w:hAnsiTheme="minorEastAsia" w:eastAsiaTheme="minorEastAsia" w:cstheme="minorEastAsia"/>
          <w:color w:val="auto"/>
          <w:sz w:val="24"/>
          <w:szCs w:val="24"/>
          <w:highlight w:val="none"/>
          <w:lang w:val="en-US" w:eastAsia="zh-CN"/>
        </w:rPr>
        <w:t>复印件</w:t>
      </w:r>
      <w:r>
        <w:rPr>
          <w:rFonts w:hint="eastAsia" w:asciiTheme="minorEastAsia" w:hAnsi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napToGrid w:val="0"/>
        <w:spacing w:line="460" w:lineRule="exact"/>
        <w:ind w:firstLine="463" w:firstLineChars="193"/>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）A4纸打印投标单位基本信息并加盖单位公章（投标单位名称、联系人姓名、联系人电话、联系人电子邮箱、公司开票信息）</w:t>
      </w:r>
      <w:r>
        <w:rPr>
          <w:rFonts w:hint="eastAsia" w:asciiTheme="minorEastAsia" w:hAnsiTheme="minorEastAsia" w:cstheme="minorEastAsia"/>
          <w:color w:val="auto"/>
          <w:sz w:val="24"/>
          <w:szCs w:val="24"/>
          <w:highlight w:val="none"/>
          <w:lang w:val="en-US" w:eastAsia="zh-CN"/>
        </w:rPr>
        <w:t>;</w:t>
      </w:r>
    </w:p>
    <w:p>
      <w:pPr>
        <w:pStyle w:val="11"/>
        <w:keepNext w:val="0"/>
        <w:keepLines w:val="0"/>
        <w:pageBreakBefore w:val="0"/>
        <w:widowControl w:val="0"/>
        <w:kinsoku/>
        <w:wordWrap/>
        <w:overflowPunct/>
        <w:topLinePunct w:val="0"/>
        <w:bidi w:val="0"/>
        <w:spacing w:line="460" w:lineRule="exact"/>
        <w:ind w:firstLine="48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sz w:val="24"/>
          <w:szCs w:val="24"/>
          <w:lang w:val="en-US" w:eastAsia="zh-CN"/>
        </w:rPr>
        <w:t>本次招标不接受联合体投标;</w:t>
      </w:r>
    </w:p>
    <w:p>
      <w:pPr>
        <w:pStyle w:val="11"/>
        <w:keepNext w:val="0"/>
        <w:keepLines w:val="0"/>
        <w:pageBreakBefore w:val="0"/>
        <w:widowControl w:val="0"/>
        <w:kinsoku/>
        <w:wordWrap/>
        <w:overflowPunct/>
        <w:topLinePunct w:val="0"/>
        <w:bidi w:val="0"/>
        <w:spacing w:line="460" w:lineRule="exact"/>
        <w:ind w:firstLine="48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（5）本次招标只接受电子版资料;</w:t>
      </w:r>
    </w:p>
    <w:p>
      <w:pPr>
        <w:pStyle w:val="11"/>
        <w:keepNext w:val="0"/>
        <w:keepLines w:val="0"/>
        <w:pageBreakBefore w:val="0"/>
        <w:widowControl w:val="0"/>
        <w:kinsoku/>
        <w:wordWrap/>
        <w:overflowPunct/>
        <w:topLinePunct w:val="0"/>
        <w:bidi w:val="0"/>
        <w:spacing w:line="460" w:lineRule="exact"/>
        <w:ind w:firstLine="48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（6）投标人须配合招标人清标。</w:t>
      </w:r>
    </w:p>
    <w:p>
      <w:pPr>
        <w:keepNext w:val="0"/>
        <w:keepLines w:val="0"/>
        <w:pageBreakBefore w:val="0"/>
        <w:widowControl w:val="0"/>
        <w:kinsoku/>
        <w:wordWrap/>
        <w:overflowPunct/>
        <w:topLinePunct w:val="0"/>
        <w:autoSpaceDE/>
        <w:autoSpaceDN/>
        <w:bidi w:val="0"/>
        <w:adjustRightInd/>
        <w:snapToGrid w:val="0"/>
        <w:spacing w:line="460" w:lineRule="exact"/>
        <w:textAlignment w:val="auto"/>
        <w:outlineLvl w:val="9"/>
        <w:rPr>
          <w:rFonts w:hint="eastAsia" w:asciiTheme="minorEastAsia" w:hAnsiTheme="minorEastAsia" w:eastAsiaTheme="minorEastAsia" w:cstheme="minorEastAsia"/>
          <w:b/>
          <w:color w:val="auto"/>
          <w:sz w:val="24"/>
          <w:szCs w:val="24"/>
          <w:highlight w:val="none"/>
        </w:rPr>
      </w:pPr>
      <w:bookmarkStart w:id="12" w:name="_Toc27025"/>
      <w:bookmarkStart w:id="13" w:name="_Toc28889"/>
      <w:bookmarkStart w:id="14" w:name="_Toc31332"/>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、投标文件的递交</w:t>
      </w:r>
      <w:bookmarkEnd w:id="12"/>
      <w:bookmarkEnd w:id="13"/>
      <w:bookmarkEnd w:id="14"/>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val="en-US" w:eastAsia="zh-CN"/>
        </w:rPr>
        <w:t xml:space="preserve"> 加盖单位公章后扫描PDF至指定邮箱;</w:t>
      </w:r>
    </w:p>
    <w:p>
      <w:pPr>
        <w:keepNext w:val="0"/>
        <w:keepLines w:val="0"/>
        <w:pageBreakBefore w:val="0"/>
        <w:widowControl w:val="0"/>
        <w:kinsoku/>
        <w:wordWrap/>
        <w:overflowPunct/>
        <w:topLinePunct w:val="0"/>
        <w:autoSpaceDE/>
        <w:autoSpaceDN/>
        <w:bidi w:val="0"/>
        <w:snapToGrid w:val="0"/>
        <w:spacing w:line="460" w:lineRule="exact"/>
        <w:ind w:firstLine="463" w:firstLineChars="193"/>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 xml:space="preserve">2 </w:t>
      </w:r>
      <w:r>
        <w:rPr>
          <w:rFonts w:hint="eastAsia" w:asciiTheme="minorEastAsia" w:hAnsiTheme="minorEastAsia" w:eastAsiaTheme="minorEastAsia" w:cstheme="minorEastAsia"/>
          <w:color w:val="auto"/>
          <w:sz w:val="24"/>
          <w:szCs w:val="24"/>
          <w:highlight w:val="none"/>
        </w:rPr>
        <w:t>逾期送达或者未送达指定地点的投标文件，招标人不予受理</w:t>
      </w:r>
      <w:r>
        <w:rPr>
          <w:rFonts w:hint="eastAsia" w:asciiTheme="minorEastAsia" w:hAnsi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outlineLvl w:val="9"/>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lang w:val="en-US" w:eastAsia="zh-CN"/>
        </w:rPr>
        <w:t xml:space="preserve">3 </w:t>
      </w:r>
      <w:r>
        <w:rPr>
          <w:rFonts w:hint="eastAsia" w:asciiTheme="minorEastAsia" w:hAnsiTheme="minorEastAsia" w:eastAsiaTheme="minorEastAsia" w:cstheme="minorEastAsia"/>
          <w:color w:val="auto"/>
          <w:sz w:val="24"/>
          <w:szCs w:val="24"/>
          <w:highlight w:val="none"/>
          <w:lang w:val="en-US" w:eastAsia="zh-CN"/>
        </w:rPr>
        <w:t>评标方法：综合评估法</w:t>
      </w:r>
      <w:r>
        <w:rPr>
          <w:rFonts w:hint="eastAsia" w:asciiTheme="minorEastAsia" w:hAnsi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napToGrid w:val="0"/>
        <w:spacing w:line="460" w:lineRule="exact"/>
        <w:ind w:firstLine="480" w:firstLineChars="200"/>
        <w:textAlignment w:val="auto"/>
        <w:outlineLvl w:val="9"/>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6.4 投标截止日期为2019年3月15日</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snapToGrid w:val="0"/>
        <w:spacing w:line="460" w:lineRule="exact"/>
        <w:textAlignment w:val="auto"/>
        <w:outlineLvl w:val="9"/>
        <w:rPr>
          <w:rFonts w:hint="eastAsia" w:asciiTheme="minorEastAsia" w:hAnsiTheme="minorEastAsia" w:eastAsiaTheme="minorEastAsia" w:cstheme="minorEastAsia"/>
          <w:b/>
          <w:color w:val="auto"/>
          <w:sz w:val="24"/>
          <w:szCs w:val="24"/>
          <w:highlight w:val="none"/>
        </w:rPr>
      </w:pPr>
      <w:bookmarkStart w:id="15" w:name="_Toc5094"/>
      <w:bookmarkStart w:id="16" w:name="_Toc15078"/>
      <w:bookmarkStart w:id="17" w:name="_Toc2792"/>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、联系方式</w:t>
      </w:r>
      <w:bookmarkEnd w:id="15"/>
      <w:bookmarkEnd w:id="16"/>
      <w:bookmarkEnd w:id="17"/>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7.1 </w:t>
      </w: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lang w:eastAsia="zh-CN"/>
        </w:rPr>
        <w:t>内蒙古鄂尔多斯联海煤业有限公司</w:t>
      </w:r>
      <w:r>
        <w:rPr>
          <w:rFonts w:hint="eastAsia" w:asciiTheme="minorEastAsia" w:hAnsiTheme="minorEastAsia" w:cstheme="minorEastAsia"/>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snapToGrid w:val="0"/>
        <w:spacing w:line="460" w:lineRule="exact"/>
        <w:ind w:left="420" w:leftChars="200" w:firstLine="60" w:firstLineChars="25"/>
        <w:textAlignment w:val="auto"/>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招标联系人：</w:t>
      </w:r>
      <w:r>
        <w:rPr>
          <w:rFonts w:hint="eastAsia" w:asciiTheme="minorEastAsia" w:hAnsiTheme="minorEastAsia" w:cstheme="minorEastAsia"/>
          <w:color w:val="auto"/>
          <w:sz w:val="24"/>
          <w:szCs w:val="24"/>
          <w:highlight w:val="none"/>
          <w:lang w:val="en-US" w:eastAsia="zh-CN"/>
        </w:rPr>
        <w:t xml:space="preserve">郝欣伟 </w:t>
      </w:r>
      <w:r>
        <w:rPr>
          <w:rFonts w:hint="eastAsia" w:asciiTheme="minorEastAsia" w:hAnsiTheme="minorEastAsia" w:eastAsiaTheme="minorEastAsia" w:cstheme="minorEastAsia"/>
          <w:color w:val="auto"/>
          <w:sz w:val="24"/>
          <w:szCs w:val="24"/>
          <w:highlight w:val="none"/>
          <w:lang w:val="en-US" w:eastAsia="zh-CN"/>
        </w:rPr>
        <w:t>电话:</w:t>
      </w:r>
      <w:r>
        <w:rPr>
          <w:rFonts w:hint="eastAsia" w:asciiTheme="minorEastAsia" w:hAnsiTheme="minorEastAsia" w:cstheme="minorEastAsia"/>
          <w:color w:val="auto"/>
          <w:sz w:val="24"/>
          <w:szCs w:val="24"/>
          <w:highlight w:val="none"/>
          <w:lang w:val="en-US" w:eastAsia="zh-CN"/>
        </w:rPr>
        <w:t>15048769927;</w:t>
      </w:r>
    </w:p>
    <w:p>
      <w:pPr>
        <w:keepNext w:val="0"/>
        <w:keepLines w:val="0"/>
        <w:pageBreakBefore w:val="0"/>
        <w:widowControl w:val="0"/>
        <w:kinsoku/>
        <w:wordWrap/>
        <w:overflowPunct/>
        <w:topLinePunct w:val="0"/>
        <w:autoSpaceDE/>
        <w:autoSpaceDN/>
        <w:bidi w:val="0"/>
        <w:adjustRightInd w:val="0"/>
        <w:snapToGrid w:val="0"/>
        <w:spacing w:line="460" w:lineRule="exact"/>
        <w:ind w:left="420" w:leftChars="200" w:firstLine="60" w:firstLineChars="25"/>
        <w:textAlignment w:val="auto"/>
        <w:outlineLvl w:val="9"/>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"mailto:lhmybjhz@163.com;"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Style w:val="9"/>
          <w:rFonts w:hint="eastAsia" w:asciiTheme="minorEastAsia" w:hAnsiTheme="minorEastAsia" w:eastAsiaTheme="minorEastAsia" w:cstheme="minorEastAsia"/>
          <w:sz w:val="24"/>
          <w:szCs w:val="24"/>
          <w:highlight w:val="none"/>
          <w:lang w:val="en-US" w:eastAsia="zh-CN"/>
        </w:rPr>
        <w:t>lhmybjhz@163.com</w:t>
      </w:r>
      <w:r>
        <w:rPr>
          <w:rStyle w:val="9"/>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460" w:lineRule="exact"/>
        <w:ind w:left="420" w:leftChars="200" w:firstLine="60" w:firstLineChars="25"/>
        <w:textAlignment w:val="auto"/>
        <w:outlineLvl w:val="9"/>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7.4 单位地址:内蒙古鄂尔多斯市东胜区汇能大厦A座1406室</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snapToGrid w:val="0"/>
        <w:spacing w:line="46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snapToGrid w:val="0"/>
        <w:spacing w:line="460" w:lineRule="exact"/>
        <w:ind w:left="420" w:leftChars="200" w:firstLine="3420" w:firstLineChars="1425"/>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内蒙古鄂尔多斯联海煤业有限公司</w:t>
      </w:r>
    </w:p>
    <w:p>
      <w:pPr>
        <w:keepNext w:val="0"/>
        <w:keepLines w:val="0"/>
        <w:pageBreakBefore w:val="0"/>
        <w:widowControl w:val="0"/>
        <w:kinsoku/>
        <w:wordWrap/>
        <w:overflowPunct/>
        <w:topLinePunct w:val="0"/>
        <w:autoSpaceDE/>
        <w:autoSpaceDN/>
        <w:bidi w:val="0"/>
        <w:snapToGrid w:val="0"/>
        <w:spacing w:line="460" w:lineRule="exact"/>
        <w:ind w:left="420" w:leftChars="200" w:firstLine="4380" w:firstLineChars="1825"/>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2019年</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日</w:t>
      </w:r>
      <w:bookmarkStart w:id="18" w:name="_Toc246997100"/>
      <w:bookmarkStart w:id="19" w:name="_Toc152045789"/>
      <w:bookmarkStart w:id="20" w:name="_Toc536371335"/>
      <w:bookmarkStart w:id="21" w:name="_Toc424234229"/>
      <w:bookmarkStart w:id="22" w:name="_Toc179632809"/>
      <w:bookmarkStart w:id="23" w:name="_Toc144974858"/>
      <w:bookmarkStart w:id="24" w:name="_Toc152042578"/>
      <w:bookmarkStart w:id="25" w:name="_Toc246996357"/>
      <w:bookmarkStart w:id="26" w:name="_Toc247085875"/>
    </w:p>
    <w:p>
      <w:pPr>
        <w:pStyle w:val="3"/>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投标文件的组成</w:t>
      </w:r>
    </w:p>
    <w:p>
      <w:pPr>
        <w:pStyle w:val="3"/>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投标</w:t>
      </w:r>
      <w:bookmarkEnd w:id="18"/>
      <w:bookmarkEnd w:id="19"/>
      <w:bookmarkEnd w:id="20"/>
      <w:bookmarkEnd w:id="21"/>
      <w:bookmarkEnd w:id="22"/>
      <w:bookmarkEnd w:id="23"/>
      <w:bookmarkEnd w:id="24"/>
      <w:bookmarkEnd w:id="25"/>
      <w:bookmarkEnd w:id="26"/>
      <w:r>
        <w:rPr>
          <w:rFonts w:hint="eastAsia" w:asciiTheme="minorEastAsia" w:hAnsiTheme="minorEastAsia" w:eastAsiaTheme="minorEastAsia" w:cstheme="minorEastAsia"/>
          <w:sz w:val="24"/>
          <w:szCs w:val="24"/>
          <w:lang w:val="en-US" w:eastAsia="zh-CN"/>
        </w:rPr>
        <w:t>函</w:t>
      </w:r>
    </w:p>
    <w:p>
      <w:pPr>
        <w:pageBreakBefore w:val="0"/>
        <w:widowControl w:val="0"/>
        <w:kinsoku/>
        <w:wordWrap/>
        <w:overflowPunct/>
        <w:topLinePunct w:val="0"/>
        <w:bidi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u w:val="single"/>
        </w:rPr>
        <w:t xml:space="preserve"> 内蒙古鄂尔多斯联海煤业有限公司 </w:t>
      </w:r>
      <w:r>
        <w:rPr>
          <w:rFonts w:hint="eastAsia" w:asciiTheme="minorEastAsia" w:hAnsiTheme="minorEastAsia" w:eastAsiaTheme="minorEastAsia" w:cstheme="minorEastAsia"/>
          <w:sz w:val="24"/>
          <w:szCs w:val="24"/>
        </w:rPr>
        <w:t>（招标人名称）：</w:t>
      </w:r>
    </w:p>
    <w:p>
      <w:pPr>
        <w:pageBreakBefore w:val="0"/>
        <w:widowControl w:val="0"/>
        <w:numPr>
          <w:ilvl w:val="0"/>
          <w:numId w:val="2"/>
        </w:numPr>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我方已仔细研究了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rPr>
        <w:t>内蒙古鄂尔多斯联海煤业有限公司白家海子煤矿</w:t>
      </w:r>
      <w:r>
        <w:rPr>
          <w:rFonts w:hint="eastAsia" w:asciiTheme="minorEastAsia" w:hAnsiTheme="minorEastAsia" w:eastAsiaTheme="minorEastAsia" w:cstheme="minorEastAsia"/>
          <w:b/>
          <w:sz w:val="24"/>
          <w:szCs w:val="24"/>
          <w:u w:val="single"/>
          <w:lang w:val="en-US" w:eastAsia="zh-CN"/>
        </w:rPr>
        <w:t>造价咨询公司编制招标控制价及工程量清单</w:t>
      </w:r>
      <w:r>
        <w:rPr>
          <w:rFonts w:hint="eastAsia" w:asciiTheme="minorEastAsia" w:hAnsiTheme="minorEastAsia" w:eastAsiaTheme="minorEastAsia" w:cstheme="minorEastAsia"/>
          <w:sz w:val="24"/>
          <w:szCs w:val="24"/>
        </w:rPr>
        <w:t>（项目名称）招标文件的全部内容，愿意</w:t>
      </w:r>
      <w:r>
        <w:rPr>
          <w:rFonts w:hint="eastAsia" w:asciiTheme="minorEastAsia" w:hAnsiTheme="minorEastAsia" w:eastAsiaTheme="minorEastAsia" w:cstheme="minorEastAsia"/>
          <w:sz w:val="24"/>
          <w:szCs w:val="24"/>
          <w:lang w:val="en-US" w:eastAsia="zh-CN"/>
        </w:rPr>
        <w:t>以招标控制价总价的</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‰费率进行</w:t>
      </w:r>
      <w:r>
        <w:rPr>
          <w:rFonts w:hint="eastAsia" w:asciiTheme="minorEastAsia" w:hAnsiTheme="minorEastAsia" w:eastAsiaTheme="minorEastAsia" w:cstheme="minorEastAsia"/>
          <w:sz w:val="24"/>
          <w:szCs w:val="24"/>
        </w:rPr>
        <w:t>报价，按合同约定</w:t>
      </w:r>
      <w:r>
        <w:rPr>
          <w:rFonts w:hint="eastAsia" w:asciiTheme="minorEastAsia" w:hAnsiTheme="minorEastAsia" w:eastAsiaTheme="minorEastAsia" w:cstheme="minorEastAsia"/>
          <w:sz w:val="24"/>
          <w:szCs w:val="24"/>
          <w:lang w:val="en-US" w:eastAsia="zh-CN"/>
        </w:rPr>
        <w:t>完成招标控制价和工程量清单的编制并配合招标人清标。</w:t>
      </w:r>
    </w:p>
    <w:p>
      <w:pPr>
        <w:pageBreakBefore w:val="0"/>
        <w:widowControl w:val="0"/>
        <w:numPr>
          <w:ilvl w:val="0"/>
          <w:numId w:val="0"/>
        </w:numPr>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2．我方承诺在招标文件规定的投标有效期内不修改、撤销投标文件。</w:t>
      </w:r>
    </w:p>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．如我方中标：</w:t>
      </w:r>
    </w:p>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（1）我方承诺在收到中标通知书后，在中标通知书规定的期限内与你方签订合同。</w:t>
      </w:r>
    </w:p>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（2）我方承诺在合同约定的期限内完成</w:t>
      </w:r>
      <w:r>
        <w:rPr>
          <w:rFonts w:hint="eastAsia" w:asciiTheme="minorEastAsia" w:hAnsiTheme="minorEastAsia" w:eastAsiaTheme="minorEastAsia" w:cstheme="minorEastAsia"/>
          <w:sz w:val="24"/>
          <w:szCs w:val="24"/>
          <w:lang w:val="en-US" w:eastAsia="zh-CN"/>
        </w:rPr>
        <w:t>工作任务</w:t>
      </w:r>
      <w:r>
        <w:rPr>
          <w:rFonts w:hint="eastAsia" w:asciiTheme="minorEastAsia" w:hAnsiTheme="minorEastAsia" w:eastAsiaTheme="minorEastAsia" w:cstheme="minorEastAsia"/>
          <w:sz w:val="24"/>
          <w:szCs w:val="24"/>
        </w:rPr>
        <w:t>。</w:t>
      </w:r>
    </w:p>
    <w:p>
      <w:pPr>
        <w:pageBreakBefore w:val="0"/>
        <w:widowControl w:val="0"/>
        <w:kinsoku/>
        <w:wordWrap/>
        <w:overflowPunct/>
        <w:topLinePunct w:val="0"/>
        <w:bidi w:val="0"/>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widowControl w:val="0"/>
        <w:kinsoku/>
        <w:wordWrap/>
        <w:overflowPunct/>
        <w:topLinePunct w:val="0"/>
        <w:bidi w:val="0"/>
        <w:spacing w:line="460" w:lineRule="exact"/>
        <w:ind w:firstLine="504" w:firstLineChars="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rPr>
        <w:t>（盖单位章）</w:t>
      </w:r>
    </w:p>
    <w:p>
      <w:pPr>
        <w:pageBreakBefore w:val="0"/>
        <w:widowControl w:val="0"/>
        <w:kinsoku/>
        <w:wordWrap/>
        <w:overflowPunct/>
        <w:topLinePunct w:val="0"/>
        <w:bidi w:val="0"/>
        <w:spacing w:line="460" w:lineRule="exact"/>
        <w:ind w:firstLine="504" w:firstLineChars="21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rPr>
        <w:t>（签 字）</w:t>
      </w:r>
    </w:p>
    <w:p>
      <w:pPr>
        <w:pageBreakBefore w:val="0"/>
        <w:widowControl w:val="0"/>
        <w:kinsoku/>
        <w:wordWrap/>
        <w:overflowPunct/>
        <w:topLinePunct w:val="0"/>
        <w:bidi w:val="0"/>
        <w:spacing w:line="460" w:lineRule="exact"/>
        <w:ind w:firstLine="504" w:firstLineChars="21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pPr>
        <w:pageBreakBefore w:val="0"/>
        <w:widowControl w:val="0"/>
        <w:kinsoku/>
        <w:wordWrap/>
        <w:overflowPunct/>
        <w:topLinePunct w:val="0"/>
        <w:bidi w:val="0"/>
        <w:spacing w:line="460" w:lineRule="exact"/>
        <w:ind w:firstLine="504" w:firstLineChars="21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pPr>
        <w:pageBreakBefore w:val="0"/>
        <w:widowControl w:val="0"/>
        <w:kinsoku/>
        <w:wordWrap/>
        <w:overflowPunct/>
        <w:topLinePunct w:val="0"/>
        <w:bidi w:val="0"/>
        <w:spacing w:line="460" w:lineRule="exact"/>
        <w:ind w:firstLine="506" w:firstLineChars="210"/>
        <w:textAlignment w:val="auto"/>
        <w:rPr>
          <w:rFonts w:hint="eastAsia" w:asciiTheme="minorEastAsia" w:hAnsiTheme="minorEastAsia" w:eastAsiaTheme="minorEastAsia" w:cstheme="minorEastAsia"/>
          <w:b/>
          <w:sz w:val="24"/>
          <w:szCs w:val="24"/>
          <w:u w:val="single"/>
        </w:rPr>
      </w:pPr>
    </w:p>
    <w:p>
      <w:pPr>
        <w:pageBreakBefore w:val="0"/>
        <w:widowControl w:val="0"/>
        <w:kinsoku/>
        <w:wordWrap/>
        <w:overflowPunct/>
        <w:topLinePunct w:val="0"/>
        <w:bidi w:val="0"/>
        <w:spacing w:line="460" w:lineRule="exact"/>
        <w:ind w:firstLine="3855" w:firstLineChars="16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ageBreakBefore w:val="0"/>
        <w:widowControl w:val="0"/>
        <w:kinsoku/>
        <w:wordWrap/>
        <w:overflowPunct/>
        <w:topLinePunct w:val="0"/>
        <w:bidi w:val="0"/>
        <w:spacing w:line="460" w:lineRule="exact"/>
        <w:ind w:firstLine="5040" w:firstLineChars="2100"/>
        <w:textAlignment w:val="auto"/>
        <w:rPr>
          <w:rFonts w:hint="eastAsia" w:asciiTheme="minorEastAsia" w:hAnsiTheme="minorEastAsia" w:eastAsiaTheme="minorEastAsia" w:cstheme="minorEastAsia"/>
          <w:i w:val="0"/>
          <w:caps w:val="0"/>
          <w:color w:val="363636"/>
          <w:spacing w:val="0"/>
          <w:sz w:val="24"/>
          <w:szCs w:val="24"/>
          <w:shd w:val="clear" w:fill="FFFFFF"/>
          <w:lang w:val="en-US" w:eastAsia="zh-CN"/>
        </w:rPr>
      </w:pPr>
    </w:p>
    <w:p>
      <w:pPr>
        <w:pStyle w:val="3"/>
        <w:pageBreakBefore w:val="0"/>
        <w:widowControl w:val="0"/>
        <w:numPr>
          <w:ilvl w:val="0"/>
          <w:numId w:val="3"/>
        </w:numPr>
        <w:kinsoku/>
        <w:wordWrap/>
        <w:overflowPunct/>
        <w:topLinePunct w:val="0"/>
        <w:bidi w:val="0"/>
        <w:spacing w:line="4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单位营业执照</w:t>
      </w:r>
    </w:p>
    <w:p>
      <w:pPr>
        <w:pStyle w:val="3"/>
        <w:pageBreakBefore w:val="0"/>
        <w:widowControl w:val="0"/>
        <w:numPr>
          <w:ilvl w:val="0"/>
          <w:numId w:val="3"/>
        </w:numPr>
        <w:kinsoku/>
        <w:wordWrap/>
        <w:overflowPunct/>
        <w:topLinePunct w:val="0"/>
        <w:bidi w:val="0"/>
        <w:spacing w:line="4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单位资质等级证书</w:t>
      </w:r>
    </w:p>
    <w:p>
      <w:pPr>
        <w:pStyle w:val="3"/>
        <w:pageBreakBefore w:val="0"/>
        <w:widowControl w:val="0"/>
        <w:numPr>
          <w:ilvl w:val="0"/>
          <w:numId w:val="3"/>
        </w:numPr>
        <w:kinsoku/>
        <w:wordWrap/>
        <w:overflowPunct/>
        <w:topLinePunct w:val="0"/>
        <w:bidi w:val="0"/>
        <w:spacing w:line="4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投标单位基本信息</w:t>
      </w:r>
    </w:p>
    <w:p>
      <w:pPr>
        <w:pStyle w:val="3"/>
        <w:pageBreakBefore w:val="0"/>
        <w:widowControl w:val="0"/>
        <w:numPr>
          <w:ilvl w:val="0"/>
          <w:numId w:val="3"/>
        </w:numPr>
        <w:kinsoku/>
        <w:wordWrap/>
        <w:overflowPunct/>
        <w:topLinePunct w:val="0"/>
        <w:bidi w:val="0"/>
        <w:spacing w:line="46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相关业绩及合同</w:t>
      </w:r>
    </w:p>
    <w:p>
      <w:pPr>
        <w:pStyle w:val="3"/>
        <w:pageBreakBefore w:val="0"/>
        <w:widowControl w:val="0"/>
        <w:numPr>
          <w:ilvl w:val="0"/>
          <w:numId w:val="3"/>
        </w:numPr>
        <w:kinsoku/>
        <w:wordWrap/>
        <w:overflowPunct/>
        <w:topLinePunct w:val="0"/>
        <w:bidi w:val="0"/>
        <w:spacing w:line="460" w:lineRule="exact"/>
        <w:jc w:val="both"/>
        <w:textAlignment w:val="auto"/>
        <w:rPr>
          <w:rFonts w:hint="eastAsia" w:asciiTheme="minorEastAsia" w:hAnsiTheme="minorEastAsia" w:eastAsiaTheme="minorEastAsia" w:cstheme="minorEastAsia"/>
          <w:sz w:val="24"/>
          <w:szCs w:val="24"/>
          <w:lang w:val="en-US" w:eastAsia="zh-CN"/>
        </w:rPr>
      </w:pPr>
      <w:bookmarkStart w:id="27" w:name="_GoBack"/>
      <w:bookmarkEnd w:id="27"/>
      <w:r>
        <w:rPr>
          <w:rFonts w:hint="eastAsia" w:asciiTheme="minorEastAsia" w:hAnsiTheme="minorEastAsia" w:eastAsiaTheme="minorEastAsia" w:cstheme="minorEastAsia"/>
          <w:sz w:val="24"/>
          <w:szCs w:val="24"/>
          <w:lang w:val="en-US" w:eastAsia="zh-CN"/>
        </w:rPr>
        <w:t>其他相关内容</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v:fill on="f" focussize="0,0"/>
              <v:stroke on="f" weight="1.25pt"/>
              <v:imagedata o:title=""/>
              <o:lock v:ext="edit" aspectratio="f"/>
              <v:textbox inset="0mm,0mm,0mm,0mm" style="mso-fit-shape-to-text:t;">
                <w:txbxContent>
                  <w:p>
                    <w:pPr>
                      <w:pStyle w:val="5"/>
                      <w:rPr>
                        <w:rFonts w:hint="eastAsia"/>
                      </w:rPr>
                    </w:pPr>
                  </w:p>
                </w:txbxContent>
              </v:textbox>
            </v:shape>
          </w:pict>
        </mc:Fallback>
      </mc:AlternateContent>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38A1A3"/>
    <w:multiLevelType w:val="singleLevel"/>
    <w:tmpl w:val="E338A1A3"/>
    <w:lvl w:ilvl="0" w:tentative="0">
      <w:start w:val="1"/>
      <w:numFmt w:val="decimal"/>
      <w:suff w:val="nothing"/>
      <w:lvlText w:val="%1．"/>
      <w:lvlJc w:val="left"/>
    </w:lvl>
  </w:abstractNum>
  <w:abstractNum w:abstractNumId="1">
    <w:nsid w:val="032EB7CD"/>
    <w:multiLevelType w:val="singleLevel"/>
    <w:tmpl w:val="032EB7CD"/>
    <w:lvl w:ilvl="0" w:tentative="0">
      <w:start w:val="2"/>
      <w:numFmt w:val="chineseCounting"/>
      <w:lvlText w:val="(%1)"/>
      <w:lvlJc w:val="left"/>
      <w:pPr>
        <w:tabs>
          <w:tab w:val="left" w:pos="312"/>
        </w:tabs>
      </w:pPr>
      <w:rPr>
        <w:rFonts w:hint="eastAsia"/>
      </w:rPr>
    </w:lvl>
  </w:abstractNum>
  <w:abstractNum w:abstractNumId="2">
    <w:nsid w:val="507C5B95"/>
    <w:multiLevelType w:val="multilevel"/>
    <w:tmpl w:val="507C5B95"/>
    <w:lvl w:ilvl="0" w:tentative="0">
      <w:start w:val="1"/>
      <w:numFmt w:val="chineseCountingThousand"/>
      <w:suff w:val="space"/>
      <w:lvlText w:val="第%1章"/>
      <w:lvlJc w:val="left"/>
      <w:pPr>
        <w:ind w:left="0" w:firstLine="0"/>
      </w:pPr>
      <w:rPr>
        <w:rFonts w:hint="default" w:ascii="宋体" w:hAnsi="宋体" w:eastAsia="宋体"/>
        <w:b/>
        <w:i w:val="0"/>
      </w:rPr>
    </w:lvl>
    <w:lvl w:ilvl="1" w:tentative="0">
      <w:start w:val="1"/>
      <w:numFmt w:val="chineseCountingThousand"/>
      <w:suff w:val="space"/>
      <w:lvlText w:val="第%2节"/>
      <w:lvlJc w:val="left"/>
      <w:pPr>
        <w:ind w:left="0" w:firstLine="0"/>
      </w:pPr>
      <w:rPr>
        <w:rFonts w:hint="default" w:ascii="Arial Narrow" w:hAnsi="Arial Narrow" w:eastAsia="宋体"/>
        <w:b/>
        <w:i w:val="0"/>
      </w:rPr>
    </w:lvl>
    <w:lvl w:ilvl="2" w:tentative="0">
      <w:start w:val="1"/>
      <w:numFmt w:val="chineseCountingThousand"/>
      <w:pStyle w:val="4"/>
      <w:suff w:val="space"/>
      <w:lvlText w:val="%3、"/>
      <w:lvlJc w:val="left"/>
      <w:pPr>
        <w:ind w:left="0" w:firstLine="0"/>
      </w:pPr>
      <w:rPr>
        <w:rFonts w:hint="default" w:ascii="Arial Narrow" w:hAnsi="Arial Narrow" w:eastAsia="宋体"/>
        <w:b/>
        <w:i w:val="0"/>
      </w:rPr>
    </w:lvl>
    <w:lvl w:ilvl="3" w:tentative="0">
      <w:start w:val="1"/>
      <w:numFmt w:val="decimal"/>
      <w:suff w:val="space"/>
      <w:lvlText w:val="%4、"/>
      <w:lvlJc w:val="left"/>
      <w:pPr>
        <w:ind w:left="426" w:firstLine="0"/>
      </w:pPr>
      <w:rPr>
        <w:rFonts w:hint="default" w:ascii="Arial Narrow" w:hAnsi="Arial Narrow" w:eastAsia="宋体"/>
      </w:rPr>
    </w:lvl>
    <w:lvl w:ilvl="4" w:tentative="0">
      <w:start w:val="1"/>
      <w:numFmt w:val="decimal"/>
      <w:suff w:val="space"/>
      <w:lvlText w:val="(%5)"/>
      <w:lvlJc w:val="left"/>
      <w:pPr>
        <w:ind w:left="0" w:firstLine="0"/>
      </w:pPr>
      <w:rPr>
        <w:rFonts w:hint="eastAsia"/>
      </w:rPr>
    </w:lvl>
    <w:lvl w:ilvl="5" w:tentative="0">
      <w:start w:val="1"/>
      <w:numFmt w:val="lowerLetter"/>
      <w:suff w:val="space"/>
      <w:lvlText w:val="%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E4B53"/>
    <w:rsid w:val="046D2612"/>
    <w:rsid w:val="047172C7"/>
    <w:rsid w:val="04FC534E"/>
    <w:rsid w:val="055B5BC3"/>
    <w:rsid w:val="06A7355F"/>
    <w:rsid w:val="07BC3D34"/>
    <w:rsid w:val="07CC1106"/>
    <w:rsid w:val="08C91AB2"/>
    <w:rsid w:val="0D9922E7"/>
    <w:rsid w:val="10903E59"/>
    <w:rsid w:val="144E42F2"/>
    <w:rsid w:val="17344642"/>
    <w:rsid w:val="18C04445"/>
    <w:rsid w:val="1E5B1297"/>
    <w:rsid w:val="216B2B35"/>
    <w:rsid w:val="24FC3D4F"/>
    <w:rsid w:val="27C463A9"/>
    <w:rsid w:val="2872566B"/>
    <w:rsid w:val="2DEA2AA8"/>
    <w:rsid w:val="34C24165"/>
    <w:rsid w:val="34F414A0"/>
    <w:rsid w:val="37F02202"/>
    <w:rsid w:val="39A92743"/>
    <w:rsid w:val="39CC0534"/>
    <w:rsid w:val="3A2B4B9D"/>
    <w:rsid w:val="3ACB480B"/>
    <w:rsid w:val="3C585858"/>
    <w:rsid w:val="3DA52FC3"/>
    <w:rsid w:val="3E3E7CB4"/>
    <w:rsid w:val="417A59F4"/>
    <w:rsid w:val="469E0732"/>
    <w:rsid w:val="498E4B53"/>
    <w:rsid w:val="57997853"/>
    <w:rsid w:val="58826CA8"/>
    <w:rsid w:val="5B406302"/>
    <w:rsid w:val="5E2C1465"/>
    <w:rsid w:val="61691083"/>
    <w:rsid w:val="634C496E"/>
    <w:rsid w:val="65D207F7"/>
    <w:rsid w:val="6C2C4D34"/>
    <w:rsid w:val="6D704A8E"/>
    <w:rsid w:val="6F2F7299"/>
    <w:rsid w:val="6F701E06"/>
    <w:rsid w:val="72445728"/>
    <w:rsid w:val="7A676A38"/>
    <w:rsid w:val="7B5D239D"/>
    <w:rsid w:val="7C5378BC"/>
    <w:rsid w:val="7FC03BC9"/>
    <w:rsid w:val="7FE1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eastAsia="黑体"/>
      <w:b/>
      <w:bCs/>
      <w:sz w:val="44"/>
      <w:szCs w:val="44"/>
    </w:rPr>
  </w:style>
  <w:style w:type="paragraph" w:styleId="4">
    <w:name w:val="heading 3"/>
    <w:basedOn w:val="1"/>
    <w:next w:val="1"/>
    <w:qFormat/>
    <w:uiPriority w:val="0"/>
    <w:pPr>
      <w:keepNext/>
      <w:keepLines/>
      <w:numPr>
        <w:ilvl w:val="2"/>
        <w:numId w:val="1"/>
      </w:numPr>
      <w:adjustRightInd w:val="0"/>
      <w:snapToGrid w:val="0"/>
      <w:ind w:firstLineChars="0"/>
      <w:outlineLvl w:val="2"/>
    </w:pPr>
    <w:rPr>
      <w:b/>
      <w:bCs/>
      <w:szCs w:val="32"/>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uiPriority w:val="99"/>
    <w:rPr>
      <w:color w:val="0000FF"/>
      <w:u w:val="single"/>
    </w:rPr>
  </w:style>
  <w:style w:type="paragraph" w:customStyle="1" w:styleId="1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2019-02-15T03:24:00Z</dcterms:created>
  <dc:creator>夏日冰雨</dc:creator>
  <cp:lastModifiedBy>邬文杰</cp:lastModifiedBy>
  <dcterms:modified xsi:type="dcterms:W3CDTF">2019-03-05T07:12:40Z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